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Privacy</w:t>
      </w:r>
      <w:r>
        <w:rPr>
          <w:spacing w:val="-3"/>
        </w:rPr>
        <w:t> </w:t>
      </w:r>
      <w:r>
        <w:rPr/>
        <w:t>Notice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Safeguarding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8176"/>
      </w:tblGrid>
      <w:tr>
        <w:trPr>
          <w:trHeight w:val="6348" w:hRule="atLeast"/>
        </w:trPr>
        <w:tc>
          <w:tcPr>
            <w:tcW w:w="10850" w:type="dxa"/>
            <w:gridSpan w:val="2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Some members of society are recognised as needing protection, for example children and vulnerable adults. If a person is identified as being at risk from harm we are expected as professionals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laws that exist to protect individuals. This is called “Safeguarding”.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suspected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 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hold with other relevant agencies whether or not the individual or their representative agrees.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representatives agreement (unconsented processing), these are:</w:t>
            </w:r>
          </w:p>
          <w:p>
            <w:pPr>
              <w:pStyle w:val="TableParagraph"/>
              <w:ind w:right="4510"/>
              <w:rPr>
                <w:sz w:val="24"/>
              </w:rPr>
            </w:pPr>
            <w:r>
              <w:rPr>
                <w:sz w:val="24"/>
              </w:rPr>
              <w:t>Section 47 of The Children Act 1989 : </w:t>
            </w:r>
            <w:r>
              <w:rPr>
                <w:spacing w:val="-2"/>
                <w:sz w:val="24"/>
              </w:rPr>
              <w:t>(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https://www.legislation.gov.uk/ukpga/1989/41/section/47</w:t>
              </w:r>
            </w:hyperlink>
            <w:r>
              <w:rPr>
                <w:spacing w:val="-2"/>
                <w:sz w:val="24"/>
              </w:rPr>
              <w:t>), </w:t>
            </w:r>
            <w:r>
              <w:rPr>
                <w:sz w:val="24"/>
              </w:rPr>
              <w:t>Section 29 of Data Protection Act (prevention of crime)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https://www.legislation.gov.uk/ukpga/1998/29/section/29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http://www.legislation.gov.uk/ukpga/2014/23/section/45/enacted</w:t>
              </w:r>
            </w:hyperlink>
            <w:r>
              <w:rPr>
                <w:spacing w:val="-2"/>
                <w:sz w:val="24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circumstances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(consented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individual or their representative to share information with local child protection services, the relevant law being; section 17 Childrens Act 1989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https://www.legislation.gov.uk/ukpga/1989/41/section/17</w:t>
              </w:r>
            </w:hyperlink>
          </w:p>
        </w:tc>
      </w:tr>
      <w:tr>
        <w:trPr>
          <w:trHeight w:val="827" w:hRule="atLeast"/>
        </w:trPr>
        <w:tc>
          <w:tcPr>
            <w:tcW w:w="26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Controller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8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Markfield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Chitterman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Markfield,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LE67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9WU</w:t>
            </w:r>
          </w:p>
        </w:tc>
      </w:tr>
      <w:tr>
        <w:trPr>
          <w:trHeight w:val="828" w:hRule="atLeast"/>
        </w:trPr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2) Data Protection Officer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8176" w:type="dxa"/>
          </w:tcPr>
          <w:p>
            <w:pPr>
              <w:pStyle w:val="TableParagraph"/>
              <w:ind w:right="4211"/>
              <w:rPr>
                <w:sz w:val="24"/>
              </w:rPr>
            </w:pPr>
            <w:r>
              <w:rPr>
                <w:sz w:val="24"/>
              </w:rPr>
              <w:t>Umar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Sabat,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Officer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Umar.sabat@ig-health.co.uk</w:t>
              </w:r>
            </w:hyperlink>
          </w:p>
        </w:tc>
      </w:tr>
      <w:tr>
        <w:trPr>
          <w:trHeight w:val="757" w:hRule="atLeast"/>
        </w:trPr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8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adult.</w:t>
            </w:r>
          </w:p>
        </w:tc>
      </w:tr>
      <w:tr>
        <w:trPr>
          <w:trHeight w:val="5409" w:hRule="atLeast"/>
        </w:trPr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Lawful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basis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8176" w:type="dxa"/>
          </w:tcPr>
          <w:p>
            <w:pPr>
              <w:pStyle w:val="TableParagraph"/>
              <w:spacing w:line="276" w:lineRule="auto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adults, therefore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adults, the following Article 6 and 9 conditions apply: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consented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processing;</w:t>
            </w:r>
          </w:p>
          <w:p>
            <w:pPr>
              <w:pStyle w:val="TableParagraph"/>
              <w:spacing w:line="276" w:lineRule="auto" w:before="242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6(1)(a)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his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 personal data for one or more specific purposes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unconsented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processing;</w:t>
            </w:r>
          </w:p>
          <w:p>
            <w:pPr>
              <w:pStyle w:val="TableParagraph"/>
              <w:spacing w:line="276" w:lineRule="auto" w:before="242"/>
              <w:rPr>
                <w:sz w:val="24"/>
              </w:rPr>
            </w:pPr>
            <w:r>
              <w:rPr>
                <w:sz w:val="24"/>
              </w:rPr>
              <w:t>6(1)(c)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which the controller is subject</w:t>
            </w: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and:</w:t>
            </w:r>
          </w:p>
          <w:p>
            <w:pPr>
              <w:pStyle w:val="TableParagraph"/>
              <w:spacing w:line="310" w:lineRule="atLeast" w:before="206"/>
              <w:rPr>
                <w:sz w:val="24"/>
              </w:rPr>
            </w:pPr>
            <w:r>
              <w:rPr>
                <w:sz w:val="24"/>
              </w:rPr>
              <w:t>9(2)(b)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‘...is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exercising the specific rights of the controller or of the data subject in the field of ...social protection law in so far as it is authorised by Union or</w:t>
            </w:r>
          </w:p>
        </w:tc>
      </w:tr>
    </w:tbl>
    <w:p>
      <w:pPr>
        <w:spacing w:after="0" w:line="310" w:lineRule="atLeast"/>
        <w:rPr>
          <w:sz w:val="24"/>
        </w:rPr>
        <w:sectPr>
          <w:headerReference w:type="default" r:id="rId5"/>
          <w:type w:val="continuous"/>
          <w:pgSz w:w="11910" w:h="16840"/>
          <w:pgMar w:header="283" w:footer="0" w:top="1140" w:bottom="280" w:left="480" w:right="3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8176"/>
      </w:tblGrid>
      <w:tr>
        <w:trPr>
          <w:trHeight w:val="1833" w:hRule="atLeast"/>
        </w:trPr>
        <w:tc>
          <w:tcPr>
            <w:tcW w:w="267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76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law..’</w:t>
            </w:r>
          </w:p>
          <w:p>
            <w:pPr>
              <w:pStyle w:val="TableParagraph"/>
              <w:spacing w:line="271" w:lineRule="auto" w:before="241"/>
              <w:rPr>
                <w:sz w:val="16"/>
              </w:rPr>
            </w:pP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collectively known as the “Common Law Duty of Confidentiality”</w:t>
            </w:r>
            <w:r>
              <w:rPr>
                <w:position w:val="8"/>
                <w:sz w:val="16"/>
              </w:rPr>
              <w:t>*</w:t>
            </w:r>
          </w:p>
        </w:tc>
      </w:tr>
      <w:tr>
        <w:trPr>
          <w:trHeight w:val="1103" w:hRule="atLeast"/>
        </w:trPr>
        <w:tc>
          <w:tcPr>
            <w:tcW w:w="2674" w:type="dxa"/>
          </w:tcPr>
          <w:p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5) </w:t>
            </w:r>
            <w:r>
              <w:rPr>
                <w:b/>
                <w:sz w:val="24"/>
              </w:rPr>
              <w:t>Recipient or categories of recipients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 shared data</w:t>
            </w:r>
          </w:p>
        </w:tc>
        <w:tc>
          <w:tcPr>
            <w:tcW w:w="8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[insert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names and contact details</w:t>
            </w:r>
          </w:p>
        </w:tc>
      </w:tr>
      <w:tr>
        <w:trPr>
          <w:trHeight w:val="1934" w:hRule="atLeast"/>
        </w:trPr>
        <w:tc>
          <w:tcPr>
            <w:tcW w:w="267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object</w:t>
            </w:r>
          </w:p>
        </w:tc>
        <w:tc>
          <w:tcPr>
            <w:tcW w:w="8176" w:type="dxa"/>
          </w:tcPr>
          <w:p>
            <w:pPr>
              <w:pStyle w:val="TableParagraph"/>
              <w:spacing w:before="2"/>
              <w:ind w:right="2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professional requirement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no right to object.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GMC</w:t>
            </w:r>
            <w:r>
              <w:rPr>
                <w:spacing w:val="-2"/>
                <w:sz w:val="24"/>
              </w:rPr>
              <w:t> guidance:</w:t>
            </w:r>
          </w:p>
          <w:p>
            <w:pPr>
              <w:pStyle w:val="TableParagraph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https://www.gmc-</w:t>
              </w:r>
            </w:hyperlink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uk.org/guidance/ethical_guidance/children_guidance_56_63_child_protecti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on.asp</w:t>
              </w:r>
            </w:hyperlink>
          </w:p>
        </w:tc>
      </w:tr>
      <w:tr>
        <w:trPr>
          <w:trHeight w:val="1103" w:hRule="atLeast"/>
        </w:trPr>
        <w:tc>
          <w:tcPr>
            <w:tcW w:w="2674" w:type="dxa"/>
          </w:tcPr>
          <w:p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z w:val="24"/>
              </w:rPr>
              <w:t> and correct</w:t>
            </w:r>
          </w:p>
        </w:tc>
        <w:tc>
          <w:tcPr>
            <w:tcW w:w="8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 have the right to access the data that is being shared and have any inaccuracies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corrected.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records deleted except when ordered by a court of Law.</w:t>
            </w:r>
          </w:p>
        </w:tc>
      </w:tr>
      <w:tr>
        <w:trPr>
          <w:trHeight w:val="1103" w:hRule="atLeast"/>
        </w:trPr>
        <w:tc>
          <w:tcPr>
            <w:tcW w:w="26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Retention</w:t>
            </w:r>
            <w:r>
              <w:rPr>
                <w:b/>
                <w:spacing w:val="-2"/>
                <w:sz w:val="24"/>
              </w:rPr>
              <w:t> period</w:t>
            </w:r>
          </w:p>
        </w:tc>
        <w:tc>
          <w:tcPr>
            <w:tcW w:w="8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data will be retained for active use during any investigation and thereafter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national guidance.</w:t>
            </w:r>
          </w:p>
        </w:tc>
      </w:tr>
      <w:tr>
        <w:trPr>
          <w:trHeight w:val="2172" w:hRule="atLeast"/>
        </w:trPr>
        <w:tc>
          <w:tcPr>
            <w:tcW w:w="2674" w:type="dxa"/>
          </w:tcPr>
          <w:p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Complain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176" w:type="dxa"/>
          </w:tcPr>
          <w:p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complain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Office, you can use this link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https://ico.org.uk/global/contact-us/</w:t>
              </w:r>
            </w:hyperlink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helpline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01625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545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745 (national rate)</w:t>
            </w:r>
          </w:p>
          <w:p>
            <w:pPr>
              <w:pStyle w:val="TableParagraph"/>
              <w:spacing w:line="270" w:lineRule="atLeast" w:before="220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Scotland,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Ireland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Wales,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(see ICO website)</w:t>
            </w:r>
          </w:p>
        </w:tc>
      </w:tr>
    </w:tbl>
    <w:p>
      <w:pPr>
        <w:pStyle w:val="BodyText"/>
        <w:spacing w:before="245"/>
        <w:rPr>
          <w:b/>
        </w:rPr>
      </w:pPr>
    </w:p>
    <w:p>
      <w:pPr>
        <w:pStyle w:val="BodyText"/>
        <w:spacing w:line="276" w:lineRule="auto"/>
        <w:ind w:left="227" w:right="298"/>
        <w:jc w:val="both"/>
      </w:pPr>
      <w:r>
        <w:rPr/>
        <w:t>* “Common</w:t>
      </w:r>
      <w:r>
        <w:rPr>
          <w:spacing w:val="-1"/>
        </w:rPr>
        <w:t> </w:t>
      </w:r>
      <w:r>
        <w:rPr/>
        <w:t>Law Duty</w:t>
      </w:r>
      <w:r>
        <w:rPr>
          <w:spacing w:val="-1"/>
        </w:rPr>
        <w:t> </w:t>
      </w:r>
      <w:r>
        <w:rPr/>
        <w:t>of Confidentiality”, common</w:t>
      </w:r>
      <w:r>
        <w:rPr>
          <w:spacing w:val="-1"/>
        </w:rPr>
        <w:t> </w:t>
      </w:r>
      <w:r>
        <w:rPr/>
        <w:t>law is not written</w:t>
      </w:r>
      <w:r>
        <w:rPr>
          <w:spacing w:val="-3"/>
        </w:rPr>
        <w:t> </w:t>
      </w:r>
      <w:r>
        <w:rPr/>
        <w:t>out in</w:t>
      </w:r>
      <w:r>
        <w:rPr>
          <w:spacing w:val="-1"/>
        </w:rPr>
        <w:t> </w:t>
      </w:r>
      <w:r>
        <w:rPr/>
        <w:t>one document like an</w:t>
      </w:r>
      <w:r>
        <w:rPr>
          <w:spacing w:val="-1"/>
        </w:rPr>
        <w:t> </w:t>
      </w:r>
      <w:r>
        <w:rPr/>
        <w:t>Act of Parliament. It is a form of law based on previous court cases decided by judges; hence,</w:t>
      </w:r>
      <w:r>
        <w:rPr>
          <w:spacing w:val="-1"/>
        </w:rPr>
        <w:t> </w:t>
      </w:r>
      <w:r>
        <w:rPr/>
        <w:t>it is also 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'judge-made'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law.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applied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cases,</w:t>
      </w:r>
      <w:r>
        <w:rPr>
          <w:spacing w:val="-2"/>
        </w:rPr>
        <w:t> </w:t>
      </w:r>
      <w:r>
        <w:rPr/>
        <w:t>so common law is also said to be based on precedent.</w:t>
      </w:r>
    </w:p>
    <w:p>
      <w:pPr>
        <w:pStyle w:val="BodyText"/>
        <w:spacing w:line="276" w:lineRule="auto" w:before="200"/>
        <w:ind w:left="227" w:right="289"/>
      </w:pP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duty of confidence applies, that information cannot normally be disclosed without the information provider's consent.</w:t>
      </w:r>
    </w:p>
    <w:p>
      <w:pPr>
        <w:pStyle w:val="BodyText"/>
        <w:spacing w:line="276" w:lineRule="auto" w:before="200"/>
        <w:ind w:left="227" w:right="289"/>
      </w:pPr>
      <w:r>
        <w:rPr/>
        <w:t>In practice, this means that all patient information, whether held on paper, computer, visually or audio</w:t>
      </w:r>
      <w:r>
        <w:rPr>
          <w:spacing w:val="-4"/>
        </w:rPr>
        <w:t> </w:t>
      </w:r>
      <w:r>
        <w:rPr/>
        <w:t>recorded,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professional,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normally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disclosed</w:t>
      </w:r>
      <w:r>
        <w:rPr>
          <w:spacing w:val="-6"/>
        </w:rPr>
        <w:t> </w:t>
      </w:r>
      <w:r>
        <w:rPr/>
        <w:t>without the consent of the patient. It is irrelevant how old the patient is or what the state of their mental health is; the duty still applies.</w:t>
      </w:r>
    </w:p>
    <w:p>
      <w:pPr>
        <w:pStyle w:val="BodyText"/>
        <w:spacing w:before="199"/>
        <w:ind w:left="227"/>
      </w:pPr>
      <w:r>
        <w:rPr/>
        <w:t>Three</w:t>
      </w:r>
      <w:r>
        <w:rPr>
          <w:spacing w:val="-6"/>
        </w:rPr>
        <w:t> </w:t>
      </w:r>
      <w:r>
        <w:rPr/>
        <w:t>circumstances</w:t>
      </w:r>
      <w:r>
        <w:rPr>
          <w:spacing w:val="-6"/>
        </w:rPr>
        <w:t> </w:t>
      </w:r>
      <w:r>
        <w:rPr/>
        <w:t>making</w:t>
      </w:r>
      <w:r>
        <w:rPr>
          <w:spacing w:val="-4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lawful</w:t>
      </w:r>
      <w:r>
        <w:rPr>
          <w:spacing w:val="-3"/>
        </w:rPr>
        <w:t> </w:t>
      </w:r>
      <w:r>
        <w:rPr>
          <w:spacing w:val="-4"/>
        </w:rPr>
        <w:t>are: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relates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consented;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239" w:after="0"/>
        <w:ind w:left="948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disclosure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interest;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283" w:footer="0" w:top="1140" w:bottom="280" w:left="480" w:right="340"/>
        </w:sect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1" w:after="0"/>
        <w:ind w:left="948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duty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order.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line="278" w:lineRule="auto" w:before="0"/>
        <w:ind w:left="227" w:right="0" w:firstLine="0"/>
        <w:jc w:val="left"/>
        <w:rPr>
          <w:b/>
          <w:sz w:val="22"/>
        </w:rPr>
      </w:pPr>
      <w:r>
        <w:rPr>
          <w:b/>
          <w:sz w:val="22"/>
        </w:rPr>
        <w:t>Please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National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sharing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information. 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further information please see: </w:t>
      </w:r>
      <w:hyperlink r:id="rId13">
        <w:r>
          <w:rPr>
            <w:b/>
            <w:color w:val="0000FF"/>
            <w:sz w:val="22"/>
            <w:u w:val="single" w:color="0000FF"/>
          </w:rPr>
          <w:t>https://www.nhs.uk/your-nhs-data-matters/</w:t>
        </w:r>
      </w:hyperlink>
    </w:p>
    <w:p>
      <w:pPr>
        <w:pStyle w:val="BodyText"/>
        <w:spacing w:line="448" w:lineRule="auto" w:before="191"/>
        <w:ind w:left="227" w:right="7012"/>
      </w:pPr>
      <w:r>
        <w:rPr/>
        <w:t>Date</w:t>
      </w:r>
      <w:r>
        <w:rPr>
          <w:spacing w:val="-8"/>
        </w:rPr>
        <w:t> </w:t>
      </w:r>
      <w:r>
        <w:rPr/>
        <w:t>created:</w:t>
      </w:r>
      <w:r>
        <w:rPr>
          <w:spacing w:val="-9"/>
        </w:rPr>
        <w:t> </w:t>
      </w:r>
      <w:r>
        <w:rPr/>
        <w:t>22</w:t>
      </w:r>
      <w:r>
        <w:rPr>
          <w:position w:val="8"/>
          <w:sz w:val="16"/>
        </w:rPr>
        <w:t>nd</w:t>
      </w:r>
      <w:r>
        <w:rPr>
          <w:spacing w:val="-7"/>
          <w:position w:val="8"/>
          <w:sz w:val="16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2022 Last updated: N/A</w:t>
      </w:r>
    </w:p>
    <w:sectPr>
      <w:pgSz w:w="11910" w:h="16840"/>
      <w:pgMar w:header="283" w:footer="0" w:top="1140" w:bottom="280" w:left="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6647815</wp:posOffset>
          </wp:positionH>
          <wp:positionV relativeFrom="page">
            <wp:posOffset>179704</wp:posOffset>
          </wp:positionV>
          <wp:extent cx="554659" cy="5441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659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2" w:lineRule="exact"/>
      <w:ind w:left="227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48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legislation.gov.uk/ukpga/1989/41/section/47" TargetMode="External"/><Relationship Id="rId7" Type="http://schemas.openxmlformats.org/officeDocument/2006/relationships/hyperlink" Target="https://www.legislation.gov.uk/ukpga/1998/29/section/29" TargetMode="External"/><Relationship Id="rId8" Type="http://schemas.openxmlformats.org/officeDocument/2006/relationships/hyperlink" Target="http://www.legislation.gov.uk/ukpga/2014/23/section/45/enacted" TargetMode="External"/><Relationship Id="rId9" Type="http://schemas.openxmlformats.org/officeDocument/2006/relationships/hyperlink" Target="https://www.legislation.gov.uk/ukpga/1989/41/section/17" TargetMode="External"/><Relationship Id="rId10" Type="http://schemas.openxmlformats.org/officeDocument/2006/relationships/hyperlink" Target="mailto:Umar.sabat@ig-health.co.uk" TargetMode="External"/><Relationship Id="rId11" Type="http://schemas.openxmlformats.org/officeDocument/2006/relationships/hyperlink" Target="https://www.gmc-uk.org/guidance/ethical_guidance/children_guidance_56_63_child_protection.asp" TargetMode="External"/><Relationship Id="rId12" Type="http://schemas.openxmlformats.org/officeDocument/2006/relationships/hyperlink" Target="https://ico.org.uk/global/contact-us/" TargetMode="External"/><Relationship Id="rId13" Type="http://schemas.openxmlformats.org/officeDocument/2006/relationships/hyperlink" Target="https://www.nhs.uk/your-nhs-data-matters/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2023-09-21T15:21:50Z</dcterms:created>
  <dcterms:modified xsi:type="dcterms:W3CDTF">2023-09-21T15:21:50Z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